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510" w:type="dxa"/>
        <w:jc w:val="center"/>
        <w:tblLook w:val="04A0" w:firstRow="1" w:lastRow="0" w:firstColumn="1" w:lastColumn="0" w:noHBand="0" w:noVBand="1"/>
      </w:tblPr>
      <w:tblGrid>
        <w:gridCol w:w="8510"/>
      </w:tblGrid>
      <w:tr w:rsidR="00861C9B" w:rsidTr="00861C9B">
        <w:trPr>
          <w:trHeight w:val="360"/>
          <w:jc w:val="center"/>
        </w:trPr>
        <w:tc>
          <w:tcPr>
            <w:tcW w:w="8510" w:type="dxa"/>
            <w:hideMark/>
          </w:tcPr>
          <w:p w:rsidR="00861C9B" w:rsidRDefault="00861C9B">
            <w:pPr>
              <w:suppressLineNumbers/>
              <w:rPr>
                <w:b/>
                <w:bCs/>
              </w:rPr>
            </w:pPr>
            <w:bookmarkStart w:id="0" w:name="_GoBack"/>
            <w:bookmarkEnd w:id="0"/>
            <w:r>
              <w:rPr>
                <w:rFonts w:hint="cs"/>
                <w:b/>
                <w:bCs/>
                <w:rtl/>
              </w:rPr>
              <w:t>לפני כבוד ה</w:t>
            </w:r>
            <w:sdt>
              <w:sdtPr>
                <w:rPr>
                  <w:rFonts w:hint="cs"/>
                  <w:rtl/>
                </w:rPr>
                <w:alias w:val="165"/>
                <w:tag w:val="165"/>
                <w:id w:val="584732177"/>
                <w:text w:multiLine="1"/>
              </w:sdtPr>
              <w:sdtEndPr/>
              <w:sdtContent>
                <w:r>
                  <w:rPr>
                    <w:rFonts w:hint="cs"/>
                    <w:b/>
                    <w:bCs/>
                    <w:rtl/>
                  </w:rPr>
                  <w:t>שופטת אספרנצה אלון</w:t>
                </w:r>
              </w:sdtContent>
            </w:sdt>
          </w:p>
        </w:tc>
      </w:tr>
    </w:tbl>
    <w:tbl>
      <w:tblPr>
        <w:tblStyle w:val="a7"/>
        <w:bidiVisual/>
        <w:tblW w:w="855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308"/>
      </w:tblGrid>
      <w:tr w:rsidR="00861C9B" w:rsidTr="00861C9B">
        <w:tc>
          <w:tcPr>
            <w:tcW w:w="3246" w:type="dxa"/>
          </w:tcPr>
          <w:p w:rsidR="00861C9B" w:rsidRDefault="00861C9B" w:rsidP="00861C9B">
            <w:pPr>
              <w:suppressLineNumbers/>
              <w:jc w:val="left"/>
              <w:rPr>
                <w:b/>
                <w:bCs/>
                <w:rtl/>
              </w:rPr>
            </w:pPr>
            <w:r>
              <w:rPr>
                <w:rFonts w:hint="cs"/>
                <w:b/>
                <w:bCs/>
                <w:rtl/>
              </w:rPr>
              <w:t>ה</w:t>
            </w:r>
            <w:sdt>
              <w:sdtPr>
                <w:rPr>
                  <w:b/>
                  <w:bCs/>
                  <w:rtl/>
                </w:rPr>
                <w:alias w:val="1264"/>
                <w:tag w:val="1264"/>
                <w:id w:val="748628538"/>
                <w:placeholder>
                  <w:docPart w:val="8CFFB6316B1946709960B286F4E66657"/>
                </w:placeholder>
                <w:text w:multiLine="1"/>
              </w:sdtPr>
              <w:sdtEndPr/>
              <w:sdtContent>
                <w:r>
                  <w:rPr>
                    <w:b/>
                    <w:bCs/>
                    <w:rtl/>
                  </w:rPr>
                  <w:t>מערערת</w:t>
                </w:r>
              </w:sdtContent>
            </w:sdt>
          </w:p>
        </w:tc>
        <w:tc>
          <w:tcPr>
            <w:tcW w:w="5308" w:type="dxa"/>
          </w:tcPr>
          <w:p w:rsidR="00861C9B" w:rsidRDefault="00861C9B" w:rsidP="00861C9B">
            <w:pPr>
              <w:suppressLineNumbers/>
              <w:jc w:val="left"/>
              <w:rPr>
                <w:rtl/>
              </w:rPr>
            </w:pPr>
            <w:r>
              <w:rPr>
                <w:rFonts w:hint="cs"/>
                <w:b/>
                <w:bCs/>
                <w:rtl/>
              </w:rPr>
              <w:t xml:space="preserve"> מ'</w:t>
            </w:r>
          </w:p>
          <w:p w:rsidR="00861C9B" w:rsidRDefault="00861C9B">
            <w:pPr>
              <w:suppressLineNumbers/>
              <w:rPr>
                <w:b/>
                <w:bCs/>
              </w:rPr>
            </w:pPr>
          </w:p>
        </w:tc>
      </w:tr>
      <w:tr w:rsidR="00861C9B" w:rsidTr="00861C9B">
        <w:tc>
          <w:tcPr>
            <w:tcW w:w="8554" w:type="dxa"/>
            <w:gridSpan w:val="2"/>
          </w:tcPr>
          <w:p w:rsidR="00861C9B" w:rsidRDefault="00861C9B">
            <w:pPr>
              <w:suppressLineNumbers/>
              <w:rPr>
                <w:b/>
                <w:bCs/>
                <w:rtl/>
              </w:rPr>
            </w:pPr>
          </w:p>
          <w:p w:rsidR="00861C9B" w:rsidRDefault="00861C9B">
            <w:pPr>
              <w:suppressLineNumbers/>
              <w:jc w:val="center"/>
              <w:rPr>
                <w:b/>
                <w:bCs/>
                <w:rtl/>
              </w:rPr>
            </w:pPr>
            <w:r>
              <w:rPr>
                <w:rFonts w:hint="cs"/>
                <w:b/>
                <w:bCs/>
                <w:rtl/>
              </w:rPr>
              <w:t>נגד</w:t>
            </w:r>
          </w:p>
          <w:p w:rsidR="00861C9B" w:rsidRDefault="00861C9B">
            <w:pPr>
              <w:suppressLineNumbers/>
              <w:rPr>
                <w:b/>
                <w:bCs/>
                <w:rtl/>
              </w:rPr>
            </w:pPr>
          </w:p>
        </w:tc>
      </w:tr>
      <w:tr w:rsidR="00861C9B" w:rsidTr="00861C9B">
        <w:trPr>
          <w:trHeight w:val="740"/>
        </w:trPr>
        <w:tc>
          <w:tcPr>
            <w:tcW w:w="3246" w:type="dxa"/>
            <w:hideMark/>
          </w:tcPr>
          <w:p w:rsidR="00861C9B" w:rsidRDefault="00861C9B" w:rsidP="00861C9B">
            <w:pPr>
              <w:suppressLineNumbers/>
              <w:jc w:val="left"/>
              <w:rPr>
                <w:b/>
                <w:bCs/>
                <w:rtl/>
              </w:rPr>
            </w:pPr>
            <w:r>
              <w:rPr>
                <w:rFonts w:hint="cs"/>
                <w:b/>
                <w:bCs/>
                <w:rtl/>
              </w:rPr>
              <w:t>ה</w:t>
            </w:r>
            <w:sdt>
              <w:sdtPr>
                <w:rPr>
                  <w:b/>
                  <w:bCs/>
                  <w:rtl/>
                </w:rPr>
                <w:alias w:val="1265"/>
                <w:tag w:val="1265"/>
                <w:id w:val="15438151"/>
                <w:text/>
              </w:sdtPr>
              <w:sdtEndPr/>
              <w:sdtContent>
                <w:r>
                  <w:rPr>
                    <w:b/>
                    <w:bCs/>
                    <w:rtl/>
                  </w:rPr>
                  <w:t>משיבים</w:t>
                </w:r>
              </w:sdtContent>
            </w:sdt>
          </w:p>
        </w:tc>
        <w:tc>
          <w:tcPr>
            <w:tcW w:w="5308" w:type="dxa"/>
            <w:hideMark/>
          </w:tcPr>
          <w:p w:rsidR="00861C9B" w:rsidRDefault="00DB3BC3" w:rsidP="00861C9B">
            <w:pPr>
              <w:suppressLineNumbers/>
              <w:jc w:val="left"/>
              <w:rPr>
                <w:b/>
                <w:bCs/>
                <w:rtl/>
              </w:rPr>
            </w:pPr>
            <w:sdt>
              <w:sdtPr>
                <w:rPr>
                  <w:b/>
                  <w:bCs/>
                  <w:rtl/>
                </w:rPr>
                <w:alias w:val="829"/>
                <w:tag w:val="829"/>
                <w:id w:val="-731926407"/>
                <w:placeholder>
                  <w:docPart w:val="C97B015DD2E047C998642365C9110F25"/>
                </w:placeholder>
                <w:text w:multiLine="1"/>
              </w:sdtPr>
              <w:sdtEndPr/>
              <w:sdtContent>
                <w:r w:rsidR="00861C9B">
                  <w:rPr>
                    <w:b/>
                    <w:bCs/>
                  </w:rPr>
                  <w:t>.1</w:t>
                </w:r>
              </w:sdtContent>
            </w:sdt>
            <w:r w:rsidR="00861C9B">
              <w:rPr>
                <w:rFonts w:hint="cs"/>
                <w:b/>
                <w:bCs/>
                <w:rtl/>
              </w:rPr>
              <w:t xml:space="preserve"> </w:t>
            </w:r>
            <w:sdt>
              <w:sdtPr>
                <w:rPr>
                  <w:rFonts w:ascii="Times New Roman" w:eastAsia="Times New Roman" w:hAnsi="Times New Roman" w:cs="Times New Roman"/>
                  <w:b/>
                  <w:bCs/>
                  <w:rtl/>
                </w:rPr>
                <w:alias w:val="1266"/>
                <w:tag w:val="1266"/>
                <w:id w:val="1865085449"/>
                <w:placeholder>
                  <w:docPart w:val="EF1D664A09BD44FEA138777B6797164E"/>
                </w:placeholder>
                <w:text w:multiLine="1"/>
              </w:sdtPr>
              <w:sdtEndPr/>
              <w:sdtContent>
                <w:r w:rsidR="00861C9B">
                  <w:rPr>
                    <w:b/>
                    <w:bCs/>
                    <w:rtl/>
                  </w:rPr>
                  <w:t>מרכז בריאות הנפש -מעלה הכרמל</w:t>
                </w:r>
              </w:sdtContent>
            </w:sdt>
          </w:p>
          <w:p w:rsidR="00861C9B" w:rsidRDefault="00DB3BC3" w:rsidP="00861C9B">
            <w:pPr>
              <w:suppressLineNumbers/>
              <w:jc w:val="left"/>
              <w:rPr>
                <w:b/>
                <w:bCs/>
                <w:rtl/>
              </w:rPr>
            </w:pPr>
            <w:sdt>
              <w:sdtPr>
                <w:rPr>
                  <w:b/>
                  <w:bCs/>
                  <w:rtl/>
                </w:rPr>
                <w:alias w:val="829"/>
                <w:tag w:val="829"/>
                <w:id w:val="-1795278592"/>
                <w:placeholder>
                  <w:docPart w:val="C97B015DD2E047C998642365C9110F25"/>
                </w:placeholder>
                <w:text w:multiLine="1"/>
              </w:sdtPr>
              <w:sdtEndPr/>
              <w:sdtContent>
                <w:r w:rsidR="00861C9B">
                  <w:rPr>
                    <w:b/>
                    <w:bCs/>
                  </w:rPr>
                  <w:t>.2</w:t>
                </w:r>
              </w:sdtContent>
            </w:sdt>
            <w:r w:rsidR="00861C9B">
              <w:rPr>
                <w:rFonts w:hint="cs"/>
                <w:b/>
                <w:bCs/>
                <w:rtl/>
              </w:rPr>
              <w:t xml:space="preserve"> </w:t>
            </w:r>
            <w:sdt>
              <w:sdtPr>
                <w:rPr>
                  <w:rFonts w:ascii="Times New Roman" w:eastAsia="Times New Roman" w:hAnsi="Times New Roman" w:cs="Times New Roman"/>
                  <w:b/>
                  <w:bCs/>
                  <w:rtl/>
                </w:rPr>
                <w:alias w:val="1266"/>
                <w:tag w:val="1266"/>
                <w:id w:val="-409472587"/>
                <w:placeholder>
                  <w:docPart w:val="EF1D664A09BD44FEA138777B6797164E"/>
                </w:placeholder>
                <w:text w:multiLine="1"/>
              </w:sdtPr>
              <w:sdtEndPr/>
              <w:sdtContent>
                <w:r w:rsidR="00861C9B">
                  <w:rPr>
                    <w:b/>
                    <w:bCs/>
                    <w:rtl/>
                  </w:rPr>
                  <w:t>הוועדה הפסיכיאטרית המחוזית</w:t>
                </w:r>
              </w:sdtContent>
            </w:sdt>
          </w:p>
          <w:p w:rsidR="00861C9B" w:rsidRDefault="00DB3BC3" w:rsidP="00861C9B">
            <w:pPr>
              <w:suppressLineNumbers/>
              <w:jc w:val="left"/>
              <w:rPr>
                <w:b/>
                <w:bCs/>
                <w:rtl/>
              </w:rPr>
            </w:pPr>
            <w:sdt>
              <w:sdtPr>
                <w:rPr>
                  <w:b/>
                  <w:bCs/>
                  <w:rtl/>
                </w:rPr>
                <w:alias w:val="829"/>
                <w:tag w:val="829"/>
                <w:id w:val="1133753469"/>
                <w:placeholder>
                  <w:docPart w:val="C97B015DD2E047C998642365C9110F25"/>
                </w:placeholder>
                <w:text w:multiLine="1"/>
              </w:sdtPr>
              <w:sdtEndPr/>
              <w:sdtContent>
                <w:r w:rsidR="00861C9B">
                  <w:rPr>
                    <w:b/>
                    <w:bCs/>
                  </w:rPr>
                  <w:t>.3</w:t>
                </w:r>
              </w:sdtContent>
            </w:sdt>
            <w:r w:rsidR="00861C9B">
              <w:rPr>
                <w:rFonts w:hint="cs"/>
                <w:b/>
                <w:bCs/>
                <w:rtl/>
              </w:rPr>
              <w:t xml:space="preserve"> </w:t>
            </w:r>
            <w:sdt>
              <w:sdtPr>
                <w:rPr>
                  <w:rFonts w:ascii="Times New Roman" w:eastAsia="Times New Roman" w:hAnsi="Times New Roman" w:cs="Times New Roman"/>
                  <w:b/>
                  <w:bCs/>
                  <w:rtl/>
                </w:rPr>
                <w:alias w:val="1266"/>
                <w:tag w:val="1266"/>
                <w:id w:val="1493764451"/>
                <w:placeholder>
                  <w:docPart w:val="EF1D664A09BD44FEA138777B6797164E"/>
                </w:placeholder>
                <w:text w:multiLine="1"/>
              </w:sdtPr>
              <w:sdtEndPr/>
              <w:sdtContent>
                <w:r w:rsidR="00861C9B">
                  <w:rPr>
                    <w:b/>
                    <w:bCs/>
                    <w:rtl/>
                  </w:rPr>
                  <w:t>היועץ המשפטי לממשלה</w:t>
                </w:r>
              </w:sdtContent>
            </w:sdt>
          </w:p>
          <w:p w:rsidR="00861C9B" w:rsidRDefault="00DB3BC3" w:rsidP="00861C9B">
            <w:pPr>
              <w:suppressLineNumbers/>
              <w:jc w:val="left"/>
              <w:rPr>
                <w:b/>
                <w:bCs/>
                <w:rtl/>
              </w:rPr>
            </w:pPr>
            <w:sdt>
              <w:sdtPr>
                <w:rPr>
                  <w:b/>
                  <w:bCs/>
                  <w:rtl/>
                </w:rPr>
                <w:alias w:val="829"/>
                <w:tag w:val="829"/>
                <w:id w:val="2124258409"/>
                <w:placeholder>
                  <w:docPart w:val="C97B015DD2E047C998642365C9110F25"/>
                </w:placeholder>
                <w:text w:multiLine="1"/>
              </w:sdtPr>
              <w:sdtEndPr/>
              <w:sdtContent>
                <w:r w:rsidR="00861C9B">
                  <w:rPr>
                    <w:b/>
                    <w:bCs/>
                  </w:rPr>
                  <w:t>.4</w:t>
                </w:r>
              </w:sdtContent>
            </w:sdt>
            <w:r w:rsidR="00861C9B">
              <w:rPr>
                <w:rFonts w:hint="cs"/>
                <w:b/>
                <w:bCs/>
                <w:rtl/>
              </w:rPr>
              <w:t xml:space="preserve"> </w:t>
            </w:r>
            <w:sdt>
              <w:sdtPr>
                <w:rPr>
                  <w:rFonts w:ascii="Times New Roman" w:eastAsia="Times New Roman" w:hAnsi="Times New Roman" w:cs="Times New Roman"/>
                  <w:b/>
                  <w:bCs/>
                  <w:rtl/>
                </w:rPr>
                <w:alias w:val="1266"/>
                <w:tag w:val="1266"/>
                <w:id w:val="200292020"/>
                <w:placeholder>
                  <w:docPart w:val="EF1D664A09BD44FEA138777B6797164E"/>
                </w:placeholder>
                <w:text w:multiLine="1"/>
              </w:sdtPr>
              <w:sdtEndPr/>
              <w:sdtContent>
                <w:r w:rsidR="00861C9B">
                  <w:rPr>
                    <w:b/>
                    <w:bCs/>
                    <w:rtl/>
                  </w:rPr>
                  <w:t>משרד הבריאות/המשרד הראשי</w:t>
                </w:r>
              </w:sdtContent>
            </w:sdt>
          </w:p>
        </w:tc>
      </w:tr>
    </w:tbl>
    <w:p w:rsidR="00861C9B" w:rsidRDefault="00861C9B" w:rsidP="00861C9B">
      <w:pPr>
        <w:pStyle w:val="12"/>
      </w:pPr>
      <w:r>
        <w:rPr>
          <w:rtl/>
        </w:rPr>
        <w:t>נוכחים:</w:t>
      </w:r>
    </w:p>
    <w:p w:rsidR="00861C9B" w:rsidRDefault="00861C9B" w:rsidP="00861C9B">
      <w:pPr>
        <w:pStyle w:val="12"/>
        <w:rPr>
          <w:b w:val="0"/>
          <w:bCs w:val="0"/>
          <w:u w:val="none"/>
          <w:rtl/>
        </w:rPr>
      </w:pPr>
      <w:r>
        <w:rPr>
          <w:b w:val="0"/>
          <w:bCs w:val="0"/>
          <w:u w:val="none"/>
          <w:rtl/>
        </w:rPr>
        <w:t>ב"כ המערערת: עו"ד אמיר סאבא (סיוע משפטי)</w:t>
      </w:r>
    </w:p>
    <w:p w:rsidR="00861C9B" w:rsidRDefault="00861C9B" w:rsidP="00861C9B">
      <w:pPr>
        <w:pStyle w:val="12"/>
        <w:rPr>
          <w:b w:val="0"/>
          <w:bCs w:val="0"/>
          <w:u w:val="none"/>
          <w:rtl/>
        </w:rPr>
      </w:pPr>
      <w:r>
        <w:rPr>
          <w:b w:val="0"/>
          <w:bCs w:val="0"/>
          <w:u w:val="none"/>
          <w:rtl/>
        </w:rPr>
        <w:t>המערערת בעצמה בליווי מלווה מבית החולים</w:t>
      </w:r>
    </w:p>
    <w:p w:rsidR="00861C9B" w:rsidRDefault="00861C9B" w:rsidP="00861C9B">
      <w:pPr>
        <w:pStyle w:val="12"/>
        <w:rPr>
          <w:b w:val="0"/>
          <w:bCs w:val="0"/>
          <w:u w:val="none"/>
          <w:rtl/>
        </w:rPr>
      </w:pPr>
      <w:r>
        <w:rPr>
          <w:b w:val="0"/>
          <w:bCs w:val="0"/>
          <w:u w:val="none"/>
          <w:rtl/>
        </w:rPr>
        <w:t>ב"כ המשיבים: עו"ד דרור קנריק שריג</w:t>
      </w:r>
      <w:r>
        <w:rPr>
          <w:rFonts w:hint="cs"/>
          <w:b w:val="0"/>
          <w:bCs w:val="0"/>
          <w:u w:val="none"/>
          <w:rtl/>
        </w:rPr>
        <w:t xml:space="preserve"> (פרקליטות מחוז חיפה- אזרחי)</w:t>
      </w:r>
    </w:p>
    <w:p w:rsidR="00861C9B" w:rsidRDefault="00861C9B" w:rsidP="00861C9B">
      <w:pPr>
        <w:pStyle w:val="12"/>
        <w:rPr>
          <w:b w:val="0"/>
          <w:bCs w:val="0"/>
          <w:u w:val="none"/>
          <w:rtl/>
        </w:rPr>
      </w:pPr>
    </w:p>
    <w:p w:rsidR="00861C9B" w:rsidRDefault="00861C9B" w:rsidP="00861C9B">
      <w:pPr>
        <w:pStyle w:val="12"/>
        <w:jc w:val="center"/>
        <w:rPr>
          <w:sz w:val="32"/>
          <w:szCs w:val="32"/>
          <w:rtl/>
        </w:rPr>
      </w:pPr>
      <w:r>
        <w:rPr>
          <w:sz w:val="32"/>
          <w:szCs w:val="32"/>
          <w:rtl/>
        </w:rPr>
        <w:t>פרוטוקול</w:t>
      </w:r>
    </w:p>
    <w:p w:rsidR="00861C9B" w:rsidRDefault="00861C9B" w:rsidP="00861C9B">
      <w:pPr>
        <w:spacing w:line="360" w:lineRule="auto"/>
        <w:jc w:val="center"/>
        <w:rPr>
          <w:rFonts w:ascii="Arial" w:hAnsi="Arial"/>
          <w:b/>
          <w:bCs/>
          <w:sz w:val="28"/>
          <w:szCs w:val="28"/>
          <w:u w:val="single"/>
        </w:rPr>
      </w:pPr>
      <w:r>
        <w:rPr>
          <w:rFonts w:ascii="Arial" w:hAnsi="Arial" w:hint="cs"/>
          <w:b/>
          <w:bCs/>
          <w:sz w:val="28"/>
          <w:szCs w:val="28"/>
          <w:u w:val="single"/>
          <w:rtl/>
        </w:rPr>
        <w:t>פסק דין</w:t>
      </w:r>
    </w:p>
    <w:p w:rsidR="00861C9B" w:rsidRDefault="00861C9B" w:rsidP="00861C9B">
      <w:pPr>
        <w:pStyle w:val="a9"/>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לפניי ערעור על החלטת הוועדה הפסיכיאטרית שהתכנסה ביום 17.07.2023 בבית החולים "טירת הכרמל"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10(ג)(1) לחוק טיפול בחולי נפש, תשנ"א-1991 (להלן: "</w:t>
      </w:r>
      <w:r>
        <w:rPr>
          <w:rFonts w:ascii="David" w:hAnsi="David" w:cs="David"/>
          <w:b/>
          <w:bCs/>
          <w:sz w:val="24"/>
          <w:szCs w:val="24"/>
          <w:rtl/>
        </w:rPr>
        <w:t>החוק</w:t>
      </w:r>
      <w:r>
        <w:rPr>
          <w:rFonts w:ascii="David" w:hAnsi="David" w:cs="David"/>
          <w:sz w:val="24"/>
          <w:szCs w:val="24"/>
          <w:rtl/>
        </w:rPr>
        <w:t>"), בה הוחלט על הארכת אשפוזה של המערערת בחודש ימים (להלן: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861C9B" w:rsidRDefault="00861C9B" w:rsidP="00861C9B">
      <w:pPr>
        <w:spacing w:line="360" w:lineRule="auto"/>
        <w:ind w:right="-142"/>
        <w:jc w:val="both"/>
      </w:pPr>
    </w:p>
    <w:p w:rsidR="00861C9B" w:rsidRDefault="00861C9B" w:rsidP="00861C9B">
      <w:pPr>
        <w:pStyle w:val="a9"/>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נימוקי הוועדה הפסיכיאטרית המיוחדת היו כדלקמן:</w:t>
      </w:r>
    </w:p>
    <w:p w:rsidR="00861C9B" w:rsidRDefault="00861C9B" w:rsidP="00861C9B">
      <w:pPr>
        <w:pStyle w:val="a9"/>
        <w:spacing w:after="0" w:line="360" w:lineRule="auto"/>
        <w:ind w:right="-142"/>
        <w:jc w:val="both"/>
        <w:rPr>
          <w:rFonts w:ascii="David" w:hAnsi="David" w:cs="David"/>
          <w:b/>
          <w:bCs/>
          <w:sz w:val="24"/>
          <w:szCs w:val="24"/>
          <w:rtl/>
        </w:rPr>
      </w:pPr>
      <w:r>
        <w:rPr>
          <w:rFonts w:ascii="David" w:hAnsi="David" w:cs="David"/>
          <w:b/>
          <w:bCs/>
          <w:sz w:val="24"/>
          <w:szCs w:val="24"/>
          <w:rtl/>
        </w:rPr>
        <w:t>"בקשה להארכת הוראת אשפוז בחודש.</w:t>
      </w:r>
    </w:p>
    <w:p w:rsidR="00861C9B" w:rsidRDefault="00861C9B" w:rsidP="00861C9B">
      <w:pPr>
        <w:pStyle w:val="a9"/>
        <w:spacing w:after="0" w:line="360" w:lineRule="auto"/>
        <w:ind w:right="-142"/>
        <w:jc w:val="both"/>
        <w:rPr>
          <w:rFonts w:ascii="David" w:hAnsi="David" w:cs="David"/>
          <w:b/>
          <w:bCs/>
          <w:sz w:val="24"/>
          <w:szCs w:val="24"/>
          <w:rtl/>
        </w:rPr>
      </w:pPr>
      <w:r>
        <w:rPr>
          <w:rFonts w:ascii="David" w:hAnsi="David" w:cs="David"/>
          <w:b/>
          <w:bCs/>
          <w:sz w:val="24"/>
          <w:szCs w:val="24"/>
          <w:rtl/>
        </w:rPr>
        <w:t xml:space="preserve">חולה דו קוטבית בת 41 במצב פסיכוטי מתגוררת עם אמה המתמודדת עם מחלת הסרטן, אינה עובדת מ-2109, אושפזה במצב פסיכוטי פעיל עם מחשבות שווא פרנואידיות מרעיבה עצמה שוקלת 35 ק"ג שותה רק קפה תוקפנית בעיקר כלפי המשפחה. מטופלת בקנאביס בפיברומיאליגה אנדומטריוזיס. איימה לפגוע בעצמה במספריים דיווחה על שמיעת קולות שפוקדים עליה לפגוע בעצמה. רגזנית חשדנית סף גיורי נמוך משפחתה נגדה השכנים פגעו בה. לדבריה אנשים ברחוב תקפו אותה ניסו להוציא ממנה כספים מרגישה שהלכה לאיבוד. חסרת תובנה דורשת לבטל קצבת נכות הושתלו </w:t>
      </w:r>
      <w:r>
        <w:rPr>
          <w:rFonts w:ascii="David" w:hAnsi="David" w:cs="David" w:hint="cs"/>
          <w:b/>
          <w:bCs/>
          <w:sz w:val="24"/>
          <w:szCs w:val="24"/>
          <w:rtl/>
        </w:rPr>
        <w:t>ב</w:t>
      </w:r>
      <w:r>
        <w:rPr>
          <w:rFonts w:ascii="David" w:hAnsi="David" w:cs="David"/>
          <w:b/>
          <w:bCs/>
          <w:sz w:val="24"/>
          <w:szCs w:val="24"/>
          <w:rtl/>
        </w:rPr>
        <w:t xml:space="preserve">ראשה מחשבות אובדניות </w:t>
      </w:r>
      <w:r>
        <w:rPr>
          <w:rFonts w:ascii="David" w:hAnsi="David" w:cs="David" w:hint="cs"/>
          <w:b/>
          <w:bCs/>
          <w:sz w:val="24"/>
          <w:szCs w:val="24"/>
          <w:rtl/>
        </w:rPr>
        <w:t>ו</w:t>
      </w:r>
      <w:r>
        <w:rPr>
          <w:rFonts w:ascii="David" w:hAnsi="David" w:cs="David"/>
          <w:b/>
          <w:bCs/>
          <w:sz w:val="24"/>
          <w:szCs w:val="24"/>
          <w:rtl/>
        </w:rPr>
        <w:t>קולות פוקדים והיא פעלה על פיהם חשבה לחתוך הצוואר. חולה במצב פסיכוטי פעיל וחריף מסכנת עצמה באופן מיידי וכן אחרים. מאריכים אשפוזה עד חודש ימים. שקלנו חלופת אשפוז אין בעת הזאת כל אפשרות לחולה אין כל תובנה למצבה מצהירה כי לא תיקח טיפול מסכנת עצמה."</w:t>
      </w:r>
    </w:p>
    <w:p w:rsidR="00861C9B" w:rsidRDefault="00861C9B" w:rsidP="00861C9B">
      <w:pPr>
        <w:pStyle w:val="a9"/>
        <w:spacing w:after="0" w:line="360" w:lineRule="auto"/>
        <w:ind w:left="-58" w:right="-142"/>
        <w:jc w:val="both"/>
        <w:rPr>
          <w:rFonts w:ascii="David" w:hAnsi="David" w:cs="David"/>
          <w:sz w:val="24"/>
          <w:szCs w:val="24"/>
        </w:rPr>
      </w:pPr>
    </w:p>
    <w:p w:rsidR="00861C9B" w:rsidRDefault="00861C9B" w:rsidP="00861C9B">
      <w:pPr>
        <w:pStyle w:val="a9"/>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בדיון שבפניי שטח כל צד את טענותיו כפי שעולה מפרוטוקול הדיון. </w:t>
      </w:r>
    </w:p>
    <w:p w:rsidR="00861C9B" w:rsidRDefault="00861C9B" w:rsidP="00861C9B">
      <w:pPr>
        <w:pStyle w:val="a9"/>
        <w:spacing w:after="0" w:line="360" w:lineRule="auto"/>
        <w:ind w:left="-58" w:right="-142"/>
        <w:jc w:val="both"/>
        <w:rPr>
          <w:rFonts w:ascii="David" w:hAnsi="David" w:cs="David"/>
          <w:b/>
          <w:bCs/>
          <w:sz w:val="24"/>
          <w:szCs w:val="24"/>
          <w:rtl/>
        </w:rPr>
      </w:pPr>
    </w:p>
    <w:p w:rsidR="00861C9B" w:rsidRDefault="00861C9B" w:rsidP="00861C9B">
      <w:pPr>
        <w:pStyle w:val="a9"/>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התרשמתי באופן ישיר מהמערערת, עברתי על טופס ההפניה לוועדה פסיכיאטרית מיום 17.07.2023, עיינתי בפרוטוקול הדיון שהתקיים בפני הוועדה הפסיכיאטרית ומקרדקס ודוחות סיעודיים בעניינה של המערערת לפני ואחריה התכנסותה של הוועדה הפסיכיאטרית. </w:t>
      </w:r>
    </w:p>
    <w:p w:rsidR="00861C9B" w:rsidRDefault="00861C9B" w:rsidP="00861C9B">
      <w:pPr>
        <w:pStyle w:val="a9"/>
        <w:spacing w:after="0" w:line="360" w:lineRule="auto"/>
        <w:ind w:left="-58" w:right="-142"/>
        <w:jc w:val="both"/>
        <w:rPr>
          <w:rFonts w:ascii="David" w:hAnsi="David" w:cs="David"/>
          <w:sz w:val="24"/>
          <w:szCs w:val="24"/>
          <w:rtl/>
        </w:rPr>
      </w:pPr>
      <w:r>
        <w:rPr>
          <w:rFonts w:ascii="David" w:hAnsi="David" w:cs="David"/>
          <w:sz w:val="24"/>
          <w:szCs w:val="24"/>
          <w:rtl/>
        </w:rPr>
        <w:lastRenderedPageBreak/>
        <w:t>לאחר כל אלה, ובדגש על כך שזהו למערערת אשפוזה הראשון, אשפוז כפוי, אשר הינו פוגעני ביותר ועל הפסיקה יש לעשות בו שימוש רק כאשר כל חלופות האשפוז האחרות נבחנו באופן עמוק וענייני ונמצא שאין הם אפשריים כלל על מנת להשיג את מטרת חלופת האשפוז הכפוי. ראו לעניין זה דברים שנכתבו ברע"פ 2060/97 </w:t>
      </w:r>
      <w:r>
        <w:rPr>
          <w:rFonts w:ascii="David" w:hAnsi="David" w:cs="David"/>
          <w:b/>
          <w:bCs/>
          <w:sz w:val="24"/>
          <w:szCs w:val="24"/>
          <w:rtl/>
        </w:rPr>
        <w:t>כרמלה וילנצ'יק נ' הפסיכיאטר המחוזי – תל-אביב [24 עמ']</w:t>
      </w:r>
      <w:r>
        <w:rPr>
          <w:rFonts w:ascii="David" w:hAnsi="David" w:cs="David"/>
          <w:sz w:val="24"/>
          <w:szCs w:val="24"/>
          <w:rtl/>
        </w:rPr>
        <w:t xml:space="preserve">, נב(1) 697 (1998): </w:t>
      </w:r>
      <w:r>
        <w:rPr>
          <w:rFonts w:ascii="David" w:hAnsi="David" w:cs="David"/>
          <w:b/>
          <w:bCs/>
          <w:color w:val="000000"/>
          <w:sz w:val="24"/>
          <w:szCs w:val="24"/>
          <w:rtl/>
        </w:rPr>
        <w:t>"...אשפוזו של אדם בבית-חולים לחולי נפש קשה ומר הוא למאושפז ולבני משפחתו, ומשנעשה האשפוז שלא מרצונו של המאושפז, יש בו משום אחת הצורות החמורות והמדכאות של שלילת חירותו של האדם..."</w:t>
      </w:r>
      <w:r>
        <w:rPr>
          <w:rFonts w:ascii="David" w:hAnsi="David" w:cs="David"/>
          <w:sz w:val="24"/>
          <w:szCs w:val="24"/>
          <w:rtl/>
        </w:rPr>
        <w:t xml:space="preserve">. </w:t>
      </w:r>
    </w:p>
    <w:p w:rsidR="00861C9B" w:rsidRDefault="00861C9B" w:rsidP="00861C9B">
      <w:pPr>
        <w:pStyle w:val="a9"/>
        <w:spacing w:after="0" w:line="360" w:lineRule="auto"/>
        <w:ind w:left="-58" w:right="-142"/>
        <w:jc w:val="both"/>
        <w:rPr>
          <w:rFonts w:ascii="David" w:hAnsi="David" w:cs="David"/>
          <w:sz w:val="24"/>
          <w:szCs w:val="24"/>
        </w:rPr>
      </w:pPr>
      <w:r>
        <w:rPr>
          <w:rFonts w:ascii="David" w:hAnsi="David" w:cs="David"/>
          <w:sz w:val="24"/>
          <w:szCs w:val="24"/>
          <w:rtl/>
        </w:rPr>
        <w:t xml:space="preserve">יפים הדברים שנכתבו על ידי כבוד השופט י' דנציגר ברע"א 9716/10 </w:t>
      </w:r>
      <w:r>
        <w:rPr>
          <w:rFonts w:ascii="David" w:hAnsi="David" w:cs="David"/>
          <w:b/>
          <w:bCs/>
          <w:sz w:val="24"/>
          <w:szCs w:val="24"/>
          <w:rtl/>
        </w:rPr>
        <w:t>פלוני נ' היועץ המשפטי לממשלה</w:t>
      </w:r>
      <w:r>
        <w:rPr>
          <w:rFonts w:ascii="David" w:hAnsi="David" w:cs="David"/>
          <w:sz w:val="24"/>
          <w:szCs w:val="24"/>
          <w:rtl/>
        </w:rPr>
        <w:t xml:space="preserve"> (נבו 12.01.2011): </w:t>
      </w:r>
      <w:r>
        <w:rPr>
          <w:rFonts w:ascii="David" w:hAnsi="David" w:cs="David"/>
          <w:b/>
          <w:bCs/>
          <w:color w:val="000000"/>
          <w:sz w:val="24"/>
          <w:szCs w:val="24"/>
          <w:rtl/>
        </w:rPr>
        <w:t>"נניח כי הוועדה השתכנעה שמתקיימים התנאים הקבועים בסעיף 10(ד) לחוק טיפול בחולי נפש, סבורני כי עדיין מוטלת עליה, כמו גם על הרופאים המטפלים הפונים בבקשה אליה, החובה לבחון ולנמק מדוע אין בחלופה אחרת שאיננה אשפוז כפוי כדי להשיג את מטרת האשפוז (למשל טיפול מרפאתי כפוי כאמור בסעיף 11 לחוק לטיפול בחולי נפש או שהות בחלופה מוסדית אחרת מחוץ לכתלי בית החולים) [השוו: רע"א 546/10 פלוני נ' בית החולים "שערי מנשה" ([פורסם בנבו], 18.2.2010), פסקה ט"ז להחלטת השופט א' רובינשטיין]. בהקשר זה בוודאי שרלבנטית ההערכה האם המשך הטיפול במבקש באמצעות חלופה אחרת הינו אפשרי כלל והאם תשיג חלופה כאמור את מטרות האשפוז הכפוי</w:t>
      </w:r>
      <w:r>
        <w:rPr>
          <w:rFonts w:ascii="David" w:hAnsi="David" w:cs="David"/>
          <w:b/>
          <w:bCs/>
          <w:color w:val="000000"/>
          <w:sz w:val="24"/>
          <w:szCs w:val="24"/>
        </w:rPr>
        <w:t>."</w:t>
      </w:r>
      <w:r>
        <w:rPr>
          <w:rFonts w:ascii="David" w:hAnsi="David" w:cs="David"/>
          <w:sz w:val="24"/>
          <w:szCs w:val="24"/>
          <w:rtl/>
        </w:rPr>
        <w:t xml:space="preserve"> </w:t>
      </w:r>
      <w:r>
        <w:rPr>
          <w:rFonts w:ascii="David" w:hAnsi="David" w:cs="David" w:hint="cs"/>
          <w:sz w:val="24"/>
          <w:szCs w:val="24"/>
          <w:rtl/>
        </w:rPr>
        <w:t>במצב כגון זה, בחינת חלופת אשפוז באופן עמוק וענייני יותר מתחייבת ביתר שאת.</w:t>
      </w:r>
    </w:p>
    <w:p w:rsidR="00861C9B" w:rsidRDefault="00861C9B" w:rsidP="00861C9B">
      <w:pPr>
        <w:pStyle w:val="a9"/>
        <w:spacing w:after="0" w:line="360" w:lineRule="auto"/>
        <w:ind w:left="-58" w:right="-142"/>
        <w:jc w:val="both"/>
        <w:rPr>
          <w:rFonts w:ascii="David" w:hAnsi="David" w:cs="David"/>
          <w:sz w:val="24"/>
          <w:szCs w:val="24"/>
          <w:rtl/>
        </w:rPr>
      </w:pPr>
    </w:p>
    <w:p w:rsidR="00861C9B" w:rsidRDefault="00861C9B" w:rsidP="00861C9B">
      <w:pPr>
        <w:pStyle w:val="a9"/>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לאור האמור לעיל, הריני מורה כי הוועדה הפסיכיאטרית תתכנס בעניינה של המערערת וזאת לא יאוחר מיום חמישי הקרוב 03.08.2023, תבחן בשנית את מצבה של המערערת ובאם ימצא כי אין מצבה מאפשר עדיין את שחרורה מחוץ לבית החולים, תבחן האם אין חלופות אשפוז שיהיו מידתיות יותר ופוגעניות פחות .     </w:t>
      </w:r>
    </w:p>
    <w:p w:rsidR="008923DF" w:rsidRDefault="008923DF" w:rsidP="008923DF">
      <w:pPr>
        <w:pStyle w:val="a9"/>
        <w:spacing w:after="0" w:line="360" w:lineRule="auto"/>
        <w:ind w:left="-58" w:right="-142"/>
        <w:jc w:val="both"/>
        <w:rPr>
          <w:rFonts w:ascii="David" w:hAnsi="David" w:cs="David"/>
          <w:sz w:val="24"/>
          <w:szCs w:val="24"/>
        </w:rPr>
      </w:pPr>
    </w:p>
    <w:p w:rsidR="008923DF" w:rsidRDefault="008923DF" w:rsidP="00861C9B">
      <w:pPr>
        <w:pStyle w:val="a9"/>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פסק הדין מותר לפרסום בהשמטת פרטים מזהים.</w:t>
      </w:r>
    </w:p>
    <w:p w:rsidR="00861C9B" w:rsidRDefault="00861C9B" w:rsidP="00861C9B">
      <w:pPr>
        <w:spacing w:line="360" w:lineRule="auto"/>
        <w:ind w:right="-142"/>
        <w:jc w:val="both"/>
      </w:pPr>
    </w:p>
    <w:p w:rsidR="00861C9B" w:rsidRDefault="00861C9B" w:rsidP="00861C9B">
      <w:pPr>
        <w:spacing w:line="360" w:lineRule="auto"/>
        <w:ind w:right="-142"/>
        <w:jc w:val="both"/>
        <w:rPr>
          <w:b/>
          <w:bCs/>
          <w:u w:val="single"/>
          <w:rtl/>
        </w:rPr>
      </w:pPr>
      <w:r>
        <w:rPr>
          <w:rFonts w:hint="cs"/>
          <w:b/>
          <w:bCs/>
          <w:u w:val="single"/>
          <w:rtl/>
        </w:rPr>
        <w:t xml:space="preserve">המזכירות תמציא פסק הדין לבית החולים ותסגור התיק.                                                                                                                                                                                                                                                                                                                                                                                                                                                                                                                                                                                                                                                                                                                                                                  </w:t>
      </w:r>
    </w:p>
    <w:p w:rsidR="00861C9B" w:rsidRDefault="00861C9B" w:rsidP="00861C9B">
      <w:pPr>
        <w:spacing w:line="360" w:lineRule="auto"/>
        <w:ind w:right="-142"/>
        <w:jc w:val="both"/>
        <w:rPr>
          <w:b/>
          <w:bCs/>
          <w:sz w:val="6"/>
          <w:szCs w:val="6"/>
          <w:rtl/>
        </w:rPr>
      </w:pPr>
      <w:r>
        <w:rPr>
          <w:rFonts w:hint="cs"/>
          <w:b/>
          <w:bCs/>
          <w:sz w:val="6"/>
          <w:szCs w:val="6"/>
          <w:rtl/>
        </w:rPr>
        <w:t>&lt;#4#&gt;</w:t>
      </w:r>
    </w:p>
    <w:p w:rsidR="00861C9B" w:rsidRDefault="00861C9B" w:rsidP="00861C9B">
      <w:pPr>
        <w:rPr>
          <w:rtl/>
        </w:rPr>
      </w:pPr>
    </w:p>
    <w:p w:rsidR="00861C9B" w:rsidRDefault="00861C9B" w:rsidP="00861C9B">
      <w:pPr>
        <w:spacing w:line="360" w:lineRule="auto"/>
        <w:rPr>
          <w:rtl/>
        </w:rPr>
      </w:pPr>
      <w:r>
        <w:rPr>
          <w:rFonts w:hint="cs"/>
          <w:b/>
          <w:bCs/>
          <w:rtl/>
        </w:rPr>
        <w:t xml:space="preserve">ניתן והודע היום </w:t>
      </w:r>
      <w:sdt>
        <w:sdtPr>
          <w:rPr>
            <w:rFonts w:hint="cs"/>
            <w:rtl/>
          </w:rPr>
          <w:alias w:val="2207"/>
          <w:tag w:val="2207"/>
          <w:id w:val="1329636924"/>
          <w:text w:multiLine="1"/>
        </w:sdtPr>
        <w:sdtEndPr/>
        <w:sdtContent>
          <w:r>
            <w:rPr>
              <w:rFonts w:hint="cs"/>
              <w:b/>
              <w:bCs/>
              <w:rtl/>
            </w:rPr>
            <w:t>י"ד אב תשפ"ג</w:t>
          </w:r>
        </w:sdtContent>
      </w:sdt>
      <w:r>
        <w:rPr>
          <w:rFonts w:hint="cs"/>
          <w:b/>
          <w:bCs/>
          <w:rtl/>
        </w:rPr>
        <w:t xml:space="preserve">, </w:t>
      </w:r>
      <w:sdt>
        <w:sdtPr>
          <w:rPr>
            <w:rFonts w:hint="cs"/>
            <w:rtl/>
          </w:rPr>
          <w:alias w:val="2206"/>
          <w:tag w:val="2206"/>
          <w:id w:val="-1474593809"/>
          <w:text w:multiLine="1"/>
        </w:sdtPr>
        <w:sdtEndPr/>
        <w:sdtContent>
          <w:r>
            <w:rPr>
              <w:rFonts w:hint="cs"/>
              <w:b/>
              <w:bCs/>
            </w:rPr>
            <w:t>01/08/2023</w:t>
          </w:r>
        </w:sdtContent>
      </w:sdt>
      <w:r>
        <w:rPr>
          <w:rFonts w:hint="cs"/>
          <w:b/>
          <w:bCs/>
          <w:rtl/>
        </w:rPr>
        <w:t xml:space="preserve"> במעמד הנוכחים.</w:t>
      </w:r>
    </w:p>
    <w:tbl>
      <w:tblPr>
        <w:tblStyle w:val="a7"/>
        <w:bidiVisual/>
        <w:tblW w:w="3936" w:type="dxa"/>
        <w:tblInd w:w="4396"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61C9B" w:rsidTr="00861C9B">
        <w:trPr>
          <w:trHeight w:val="316"/>
        </w:trPr>
        <w:tc>
          <w:tcPr>
            <w:tcW w:w="3936" w:type="dxa"/>
            <w:tcBorders>
              <w:top w:val="nil"/>
              <w:left w:val="nil"/>
              <w:bottom w:val="single" w:sz="4" w:space="0" w:color="auto"/>
              <w:right w:val="nil"/>
            </w:tcBorders>
            <w:vAlign w:val="center"/>
          </w:tcPr>
          <w:p w:rsidR="00861C9B" w:rsidRDefault="00DB3BC3">
            <w:pPr>
              <w:jc w:val="center"/>
              <w:rPr>
                <w:rtl/>
              </w:rPr>
            </w:pPr>
            <w:sdt>
              <w:sdtPr>
                <w:rPr>
                  <w:rFonts w:ascii="Times New Roman" w:eastAsia="Times New Roman" w:hAnsi="Times New Roman" w:cs="Times New Roman"/>
                  <w:rtl/>
                </w:rPr>
                <w:alias w:val="MergeField"/>
                <w:tag w:val="2144"/>
                <w:id w:val="1794553873"/>
              </w:sdtPr>
              <w:sdtEndPr/>
              <w:sdtContent>
                <w:r w:rsidR="00861C9B">
                  <w:rPr>
                    <w:noProof/>
                  </w:rPr>
                  <w:drawing>
                    <wp:inline distT="0" distB="0" distL="0" distR="0">
                      <wp:extent cx="447675" cy="84772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847725"/>
                              </a:xfrm>
                              <a:prstGeom prst="rect">
                                <a:avLst/>
                              </a:prstGeom>
                              <a:noFill/>
                              <a:ln>
                                <a:noFill/>
                              </a:ln>
                            </pic:spPr>
                          </pic:pic>
                        </a:graphicData>
                      </a:graphic>
                    </wp:inline>
                  </w:drawing>
                </w:r>
              </w:sdtContent>
            </w:sdt>
          </w:p>
          <w:p w:rsidR="00861C9B" w:rsidRDefault="00861C9B">
            <w:pPr>
              <w:jc w:val="center"/>
            </w:pPr>
          </w:p>
        </w:tc>
      </w:tr>
      <w:tr w:rsidR="00861C9B" w:rsidTr="00861C9B">
        <w:trPr>
          <w:trHeight w:val="361"/>
        </w:trPr>
        <w:tc>
          <w:tcPr>
            <w:tcW w:w="3936" w:type="dxa"/>
            <w:tcBorders>
              <w:top w:val="single" w:sz="4" w:space="0" w:color="auto"/>
              <w:left w:val="nil"/>
              <w:bottom w:val="nil"/>
              <w:right w:val="nil"/>
            </w:tcBorders>
            <w:vAlign w:val="center"/>
            <w:hideMark/>
          </w:tcPr>
          <w:p w:rsidR="00861C9B" w:rsidRDefault="00DB3BC3">
            <w:pPr>
              <w:jc w:val="center"/>
              <w:rPr>
                <w:b/>
                <w:bCs/>
                <w:rtl/>
              </w:rPr>
            </w:pPr>
            <w:sdt>
              <w:sdtPr>
                <w:rPr>
                  <w:b/>
                  <w:bCs/>
                  <w:rtl/>
                </w:rPr>
                <w:alias w:val="2141"/>
                <w:tag w:val="2141"/>
                <w:id w:val="2119712613"/>
                <w:placeholder>
                  <w:docPart w:val="F41AF32350E846E9A875567E8B72C6CF"/>
                </w:placeholder>
                <w:text w:multiLine="1"/>
              </w:sdtPr>
              <w:sdtEndPr/>
              <w:sdtContent>
                <w:r w:rsidR="00861C9B">
                  <w:rPr>
                    <w:b/>
                    <w:bCs/>
                    <w:rtl/>
                  </w:rPr>
                  <w:t>אספרנצה</w:t>
                </w:r>
              </w:sdtContent>
            </w:sdt>
            <w:r w:rsidR="00861C9B">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2"/>
                <w:tag w:val="2142"/>
                <w:id w:val="-26639521"/>
                <w:placeholder>
                  <w:docPart w:val="AB8C8BEC39C2473880BE6160465D920A"/>
                </w:placeholder>
                <w:text w:multiLine="1"/>
              </w:sdtPr>
              <w:sdtEndPr/>
              <w:sdtContent>
                <w:r w:rsidR="00861C9B">
                  <w:rPr>
                    <w:rFonts w:ascii="Times New Roman" w:eastAsia="Times New Roman" w:hAnsi="Times New Roman"/>
                    <w:b/>
                    <w:bCs/>
                    <w:rtl/>
                  </w:rPr>
                  <w:t>אלון</w:t>
                </w:r>
              </w:sdtContent>
            </w:sdt>
            <w:r w:rsidR="00861C9B">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3"/>
                <w:tag w:val="2143"/>
                <w:id w:val="1647695366"/>
                <w:placeholder>
                  <w:docPart w:val="406908E3C0C646DDA575382C87C6649C"/>
                </w:placeholder>
                <w:text w:multiLine="1"/>
              </w:sdtPr>
              <w:sdtEndPr/>
              <w:sdtContent>
                <w:r w:rsidR="00861C9B">
                  <w:rPr>
                    <w:rFonts w:ascii="Times New Roman" w:eastAsia="Times New Roman" w:hAnsi="Times New Roman"/>
                    <w:b/>
                    <w:bCs/>
                    <w:rtl/>
                  </w:rPr>
                  <w:t>שופטת</w:t>
                </w:r>
              </w:sdtContent>
            </w:sdt>
          </w:p>
        </w:tc>
      </w:tr>
    </w:tbl>
    <w:p w:rsidR="00861C9B" w:rsidRDefault="00861C9B" w:rsidP="00861C9B">
      <w:pPr>
        <w:rPr>
          <w:rtl/>
        </w:rPr>
      </w:pPr>
    </w:p>
    <w:sectPr w:rsidR="00861C9B" w:rsidSect="00861C9B">
      <w:headerReference w:type="default" r:id="rId8"/>
      <w:footerReference w:type="default" r:id="rId9"/>
      <w:pgSz w:w="11906" w:h="16838"/>
      <w:pgMar w:top="1440" w:right="1797" w:bottom="1134"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BC3" w:rsidRDefault="00DB3BC3" w:rsidP="00861C9B">
      <w:r>
        <w:separator/>
      </w:r>
    </w:p>
  </w:endnote>
  <w:endnote w:type="continuationSeparator" w:id="0">
    <w:p w:rsidR="00DB3BC3" w:rsidRDefault="00DB3BC3" w:rsidP="0086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275706491"/>
      <w:docPartObj>
        <w:docPartGallery w:val="Page Numbers (Bottom of Page)"/>
        <w:docPartUnique/>
      </w:docPartObj>
    </w:sdtPr>
    <w:sdtEndPr>
      <w:rPr>
        <w:cs/>
      </w:rPr>
    </w:sdtEndPr>
    <w:sdtContent>
      <w:p w:rsidR="00861C9B" w:rsidRDefault="00861C9B">
        <w:pPr>
          <w:pStyle w:val="a5"/>
          <w:jc w:val="center"/>
          <w:rPr>
            <w:rtl/>
            <w:cs/>
          </w:rPr>
        </w:pPr>
        <w:r>
          <w:fldChar w:fldCharType="begin"/>
        </w:r>
        <w:r>
          <w:rPr>
            <w:rtl/>
            <w:cs/>
          </w:rPr>
          <w:instrText>PAGE   \* MERGEFORMAT</w:instrText>
        </w:r>
        <w:r>
          <w:fldChar w:fldCharType="separate"/>
        </w:r>
        <w:r w:rsidR="00AD6B63" w:rsidRPr="00AD6B63">
          <w:rPr>
            <w:noProof/>
            <w:rtl/>
            <w:lang w:val="he-IL"/>
          </w:rPr>
          <w:t>1</w:t>
        </w:r>
        <w:r>
          <w:fldChar w:fldCharType="end"/>
        </w:r>
      </w:p>
    </w:sdtContent>
  </w:sdt>
  <w:p w:rsidR="00861C9B" w:rsidRDefault="00861C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BC3" w:rsidRDefault="00DB3BC3" w:rsidP="00861C9B">
      <w:r>
        <w:separator/>
      </w:r>
    </w:p>
  </w:footnote>
  <w:footnote w:type="continuationSeparator" w:id="0">
    <w:p w:rsidR="00DB3BC3" w:rsidRDefault="00DB3BC3" w:rsidP="0086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C9B" w:rsidRDefault="00861C9B" w:rsidP="00861C9B">
    <w:pPr>
      <w:pStyle w:val="a3"/>
      <w:jc w:val="center"/>
    </w:pPr>
    <w:r>
      <w:rPr>
        <w:noProof/>
      </w:rPr>
      <w:drawing>
        <wp:inline distT="0" distB="0" distL="0" distR="0">
          <wp:extent cx="514350" cy="571500"/>
          <wp:effectExtent l="0" t="0" r="0" b="0"/>
          <wp:docPr id="11" name="תמונה 1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57150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390"/>
      <w:gridCol w:w="281"/>
      <w:gridCol w:w="2641"/>
    </w:tblGrid>
    <w:tr w:rsidR="00861C9B" w:rsidTr="00861C9B">
      <w:trPr>
        <w:trHeight w:val="418"/>
        <w:jc w:val="center"/>
      </w:trPr>
      <w:sdt>
        <w:sdtPr>
          <w:rPr>
            <w:rtl/>
          </w:rPr>
          <w:alias w:val="162"/>
          <w:tag w:val="162"/>
          <w:id w:val="1282998781"/>
          <w:text w:multiLine="1"/>
        </w:sdtPr>
        <w:sdtEndPr/>
        <w:sdtContent>
          <w:tc>
            <w:tcPr>
              <w:tcW w:w="8504" w:type="dxa"/>
              <w:gridSpan w:val="3"/>
              <w:hideMark/>
            </w:tcPr>
            <w:p w:rsidR="00861C9B" w:rsidRDefault="00861C9B" w:rsidP="00861C9B">
              <w:pPr>
                <w:pStyle w:val="a3"/>
                <w:jc w:val="center"/>
                <w:rPr>
                  <w:rtl/>
                </w:rPr>
              </w:pPr>
              <w:r>
                <w:rPr>
                  <w:rFonts w:ascii="Tahoma" w:hAnsi="Tahoma" w:cs="Tahoma"/>
                  <w:b/>
                  <w:bCs/>
                  <w:color w:val="000080"/>
                  <w:sz w:val="20"/>
                  <w:szCs w:val="20"/>
                  <w:rtl/>
                </w:rPr>
                <w:t>בית המשפט המחוזי בחיפה בשבתו כבית-משפט לערעורים אזרחיים</w:t>
              </w:r>
            </w:p>
          </w:tc>
        </w:sdtContent>
      </w:sdt>
    </w:tr>
    <w:tr w:rsidR="00861C9B" w:rsidTr="00861C9B">
      <w:trPr>
        <w:trHeight w:val="337"/>
        <w:jc w:val="center"/>
      </w:trPr>
      <w:tc>
        <w:tcPr>
          <w:tcW w:w="5527" w:type="dxa"/>
          <w:hideMark/>
        </w:tcPr>
        <w:p w:rsidR="00861C9B" w:rsidRDefault="00DB3BC3" w:rsidP="00861C9B">
          <w:pPr>
            <w:rPr>
              <w:b/>
              <w:bCs/>
              <w:sz w:val="26"/>
              <w:szCs w:val="26"/>
              <w:rtl/>
            </w:rPr>
          </w:pPr>
          <w:sdt>
            <w:sdtPr>
              <w:rPr>
                <w:b/>
                <w:bCs/>
                <w:sz w:val="26"/>
                <w:szCs w:val="26"/>
                <w:rtl/>
              </w:rPr>
              <w:alias w:val="849"/>
              <w:tag w:val="849"/>
              <w:id w:val="-1617746001"/>
              <w:text w:multiLine="1"/>
            </w:sdtPr>
            <w:sdtEndPr/>
            <w:sdtContent>
              <w:r w:rsidR="00861C9B" w:rsidRPr="00861C9B">
                <w:rPr>
                  <w:b/>
                  <w:bCs/>
                  <w:sz w:val="26"/>
                  <w:szCs w:val="26"/>
                  <w:rtl/>
                </w:rPr>
                <w:t>ע"ו</w:t>
              </w:r>
            </w:sdtContent>
          </w:sdt>
          <w:r w:rsidR="00861C9B" w:rsidRPr="00861C9B">
            <w:rPr>
              <w:b/>
              <w:bCs/>
              <w:sz w:val="26"/>
              <w:szCs w:val="26"/>
              <w:rtl/>
            </w:rPr>
            <w:t xml:space="preserve"> 62401-07-23 </w:t>
          </w:r>
          <w:r w:rsidR="00861C9B">
            <w:rPr>
              <w:rFonts w:hint="cs"/>
              <w:b/>
              <w:bCs/>
              <w:sz w:val="26"/>
              <w:szCs w:val="26"/>
              <w:rtl/>
            </w:rPr>
            <w:t>מ'</w:t>
          </w:r>
          <w:r w:rsidR="00861C9B" w:rsidRPr="00861C9B">
            <w:rPr>
              <w:b/>
              <w:bCs/>
              <w:sz w:val="26"/>
              <w:szCs w:val="26"/>
              <w:rtl/>
            </w:rPr>
            <w:t xml:space="preserve"> נ' מרכז בריאות הנפש -מעלה הכרמל ואח'</w:t>
          </w:r>
        </w:p>
      </w:tc>
      <w:tc>
        <w:tcPr>
          <w:tcW w:w="283" w:type="dxa"/>
        </w:tcPr>
        <w:p w:rsidR="00861C9B" w:rsidRDefault="00861C9B" w:rsidP="00861C9B">
          <w:pPr>
            <w:pStyle w:val="a3"/>
            <w:jc w:val="right"/>
            <w:rPr>
              <w:b/>
              <w:bCs/>
              <w:sz w:val="26"/>
              <w:szCs w:val="26"/>
              <w:rtl/>
            </w:rPr>
          </w:pPr>
        </w:p>
      </w:tc>
      <w:sdt>
        <w:sdtPr>
          <w:rPr>
            <w:rFonts w:hint="cs"/>
            <w:b/>
            <w:bCs/>
            <w:sz w:val="26"/>
            <w:szCs w:val="26"/>
            <w:rtl/>
          </w:rPr>
          <w:alias w:val="2633"/>
          <w:tag w:val="2633"/>
          <w:id w:val="991297748"/>
          <w:text w:multiLine="1"/>
        </w:sdtPr>
        <w:sdtEndPr/>
        <w:sdtContent>
          <w:tc>
            <w:tcPr>
              <w:tcW w:w="2694" w:type="dxa"/>
              <w:hideMark/>
            </w:tcPr>
            <w:p w:rsidR="00861C9B" w:rsidRDefault="00861C9B" w:rsidP="00861C9B">
              <w:pPr>
                <w:pStyle w:val="a3"/>
                <w:tabs>
                  <w:tab w:val="clear" w:pos="4153"/>
                </w:tabs>
                <w:jc w:val="right"/>
                <w:rPr>
                  <w:b/>
                  <w:bCs/>
                  <w:sz w:val="26"/>
                  <w:szCs w:val="26"/>
                  <w:rtl/>
                </w:rPr>
              </w:pPr>
              <w:r>
                <w:rPr>
                  <w:rFonts w:hint="cs"/>
                  <w:b/>
                  <w:bCs/>
                  <w:sz w:val="26"/>
                  <w:szCs w:val="26"/>
                  <w:rtl/>
                </w:rPr>
                <w:t>01 אוגוסט 2023</w:t>
              </w:r>
            </w:p>
          </w:tc>
        </w:sdtContent>
      </w:sdt>
    </w:tr>
  </w:tbl>
  <w:p w:rsidR="00861C9B" w:rsidRDefault="00861C9B" w:rsidP="00861C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C9B"/>
    <w:rsid w:val="0018741F"/>
    <w:rsid w:val="002F04D9"/>
    <w:rsid w:val="007E51EC"/>
    <w:rsid w:val="008019A4"/>
    <w:rsid w:val="00861C9B"/>
    <w:rsid w:val="0089057E"/>
    <w:rsid w:val="008923DF"/>
    <w:rsid w:val="00A673D8"/>
    <w:rsid w:val="00AD6B63"/>
    <w:rsid w:val="00DB3BC3"/>
    <w:rsid w:val="00F02109"/>
    <w:rsid w:val="00FD407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27A394-FC1C-41B8-AEC0-2F07AFFA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C9B"/>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1C9B"/>
    <w:pPr>
      <w:tabs>
        <w:tab w:val="center" w:pos="4153"/>
        <w:tab w:val="right" w:pos="8306"/>
      </w:tabs>
    </w:pPr>
  </w:style>
  <w:style w:type="character" w:customStyle="1" w:styleId="a4">
    <w:name w:val="כותרת עליונה תו"/>
    <w:basedOn w:val="a0"/>
    <w:link w:val="a3"/>
    <w:uiPriority w:val="99"/>
    <w:rsid w:val="00861C9B"/>
  </w:style>
  <w:style w:type="paragraph" w:styleId="a5">
    <w:name w:val="footer"/>
    <w:basedOn w:val="a"/>
    <w:link w:val="a6"/>
    <w:uiPriority w:val="99"/>
    <w:unhideWhenUsed/>
    <w:rsid w:val="00861C9B"/>
    <w:pPr>
      <w:tabs>
        <w:tab w:val="center" w:pos="4153"/>
        <w:tab w:val="right" w:pos="8306"/>
      </w:tabs>
    </w:pPr>
  </w:style>
  <w:style w:type="character" w:customStyle="1" w:styleId="a6">
    <w:name w:val="כותרת תחתונה תו"/>
    <w:basedOn w:val="a0"/>
    <w:link w:val="a5"/>
    <w:uiPriority w:val="99"/>
    <w:rsid w:val="00861C9B"/>
  </w:style>
  <w:style w:type="table" w:styleId="a7">
    <w:name w:val="Table Grid"/>
    <w:basedOn w:val="a1"/>
    <w:rsid w:val="00861C9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line number"/>
    <w:basedOn w:val="a0"/>
    <w:uiPriority w:val="99"/>
    <w:semiHidden/>
    <w:unhideWhenUsed/>
    <w:rsid w:val="00861C9B"/>
  </w:style>
  <w:style w:type="paragraph" w:customStyle="1" w:styleId="12">
    <w:name w:val="רגיל + ‏12 נק'"/>
    <w:aliases w:val="מיושר לשני הצדדים,מרווח בין שורות:  שורה וחצי"/>
    <w:basedOn w:val="a"/>
    <w:rsid w:val="00861C9B"/>
    <w:rPr>
      <w:rFonts w:ascii="Times New Roman" w:eastAsia="Times New Roman" w:hAnsi="Times New Roman"/>
      <w:b/>
      <w:bCs/>
      <w:u w:val="single"/>
    </w:rPr>
  </w:style>
  <w:style w:type="paragraph" w:styleId="a9">
    <w:name w:val="List Paragraph"/>
    <w:basedOn w:val="a"/>
    <w:uiPriority w:val="34"/>
    <w:qFormat/>
    <w:rsid w:val="00861C9B"/>
    <w:pPr>
      <w:spacing w:after="160" w:line="254" w:lineRule="auto"/>
      <w:ind w:left="720"/>
      <w:contextualSpacing/>
    </w:pPr>
    <w:rPr>
      <w:rFonts w:asciiTheme="minorHAnsi" w:eastAsiaTheme="minorHAnsi" w:hAnsiTheme="minorHAnsi" w:cstheme="minorBidi"/>
      <w:sz w:val="22"/>
      <w:szCs w:val="22"/>
    </w:rPr>
  </w:style>
  <w:style w:type="paragraph" w:customStyle="1" w:styleId="David">
    <w:name w:val="סגנון (עברית ושפות אחרות) David מיושר לשני הצדדים מרווח בין שורות..."/>
    <w:basedOn w:val="a"/>
    <w:rsid w:val="00861C9B"/>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1433">
      <w:bodyDiv w:val="1"/>
      <w:marLeft w:val="0"/>
      <w:marRight w:val="0"/>
      <w:marTop w:val="0"/>
      <w:marBottom w:val="0"/>
      <w:divBdr>
        <w:top w:val="none" w:sz="0" w:space="0" w:color="auto"/>
        <w:left w:val="none" w:sz="0" w:space="0" w:color="auto"/>
        <w:bottom w:val="none" w:sz="0" w:space="0" w:color="auto"/>
        <w:right w:val="none" w:sz="0" w:space="0" w:color="auto"/>
      </w:divBdr>
    </w:div>
    <w:div w:id="1266384200">
      <w:bodyDiv w:val="1"/>
      <w:marLeft w:val="0"/>
      <w:marRight w:val="0"/>
      <w:marTop w:val="0"/>
      <w:marBottom w:val="0"/>
      <w:divBdr>
        <w:top w:val="none" w:sz="0" w:space="0" w:color="auto"/>
        <w:left w:val="none" w:sz="0" w:space="0" w:color="auto"/>
        <w:bottom w:val="none" w:sz="0" w:space="0" w:color="auto"/>
        <w:right w:val="none" w:sz="0" w:space="0" w:color="auto"/>
      </w:divBdr>
    </w:div>
    <w:div w:id="1621494140">
      <w:bodyDiv w:val="1"/>
      <w:marLeft w:val="0"/>
      <w:marRight w:val="0"/>
      <w:marTop w:val="0"/>
      <w:marBottom w:val="0"/>
      <w:divBdr>
        <w:top w:val="none" w:sz="0" w:space="0" w:color="auto"/>
        <w:left w:val="none" w:sz="0" w:space="0" w:color="auto"/>
        <w:bottom w:val="none" w:sz="0" w:space="0" w:color="auto"/>
        <w:right w:val="none" w:sz="0" w:space="0" w:color="auto"/>
      </w:divBdr>
    </w:div>
    <w:div w:id="1944026363">
      <w:bodyDiv w:val="1"/>
      <w:marLeft w:val="0"/>
      <w:marRight w:val="0"/>
      <w:marTop w:val="0"/>
      <w:marBottom w:val="0"/>
      <w:divBdr>
        <w:top w:val="none" w:sz="0" w:space="0" w:color="auto"/>
        <w:left w:val="none" w:sz="0" w:space="0" w:color="auto"/>
        <w:bottom w:val="none" w:sz="0" w:space="0" w:color="auto"/>
        <w:right w:val="none" w:sz="0" w:space="0" w:color="auto"/>
      </w:divBdr>
    </w:div>
    <w:div w:id="206995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FFB6316B1946709960B286F4E66657"/>
        <w:category>
          <w:name w:val="כללי"/>
          <w:gallery w:val="placeholder"/>
        </w:category>
        <w:types>
          <w:type w:val="bbPlcHdr"/>
        </w:types>
        <w:behaviors>
          <w:behavior w:val="content"/>
        </w:behaviors>
        <w:guid w:val="{0BD944DF-399C-4031-8882-01DAC31A0801}"/>
      </w:docPartPr>
      <w:docPartBody>
        <w:p w:rsidR="0005549C" w:rsidRDefault="001F2267" w:rsidP="001F2267">
          <w:pPr>
            <w:pStyle w:val="8CFFB6316B1946709960B286F4E66657"/>
          </w:pPr>
          <w:r>
            <w:rPr>
              <w:b/>
              <w:bCs/>
              <w:rtl/>
            </w:rPr>
            <w:t>תאור קבוצת שיכות צד א'</w:t>
          </w:r>
        </w:p>
      </w:docPartBody>
    </w:docPart>
    <w:docPart>
      <w:docPartPr>
        <w:name w:val="C97B015DD2E047C998642365C9110F25"/>
        <w:category>
          <w:name w:val="כללי"/>
          <w:gallery w:val="placeholder"/>
        </w:category>
        <w:types>
          <w:type w:val="bbPlcHdr"/>
        </w:types>
        <w:behaviors>
          <w:behavior w:val="content"/>
        </w:behaviors>
        <w:guid w:val="{13B3D448-6B27-4CFE-BD7B-756131D573F5}"/>
      </w:docPartPr>
      <w:docPartBody>
        <w:p w:rsidR="0005549C" w:rsidRDefault="001F2267" w:rsidP="001F2267">
          <w:pPr>
            <w:pStyle w:val="C97B015DD2E047C998642365C9110F25"/>
          </w:pPr>
          <w:r>
            <w:rPr>
              <w:b/>
              <w:bCs/>
              <w:rtl/>
            </w:rPr>
            <w:t>מספר מעמד צד ב'</w:t>
          </w:r>
        </w:p>
      </w:docPartBody>
    </w:docPart>
    <w:docPart>
      <w:docPartPr>
        <w:name w:val="EF1D664A09BD44FEA138777B6797164E"/>
        <w:category>
          <w:name w:val="כללי"/>
          <w:gallery w:val="placeholder"/>
        </w:category>
        <w:types>
          <w:type w:val="bbPlcHdr"/>
        </w:types>
        <w:behaviors>
          <w:behavior w:val="content"/>
        </w:behaviors>
        <w:guid w:val="{B08F1E28-2BBC-45D9-9B74-674F95FF6C01}"/>
      </w:docPartPr>
      <w:docPartBody>
        <w:p w:rsidR="0005549C" w:rsidRDefault="001F2267" w:rsidP="001F2267">
          <w:pPr>
            <w:pStyle w:val="EF1D664A09BD44FEA138777B6797164E"/>
          </w:pPr>
          <w:r>
            <w:rPr>
              <w:b/>
              <w:bCs/>
              <w:rtl/>
            </w:rPr>
            <w:t>שם צד ב'</w:t>
          </w:r>
        </w:p>
      </w:docPartBody>
    </w:docPart>
    <w:docPart>
      <w:docPartPr>
        <w:name w:val="F41AF32350E846E9A875567E8B72C6CF"/>
        <w:category>
          <w:name w:val="כללי"/>
          <w:gallery w:val="placeholder"/>
        </w:category>
        <w:types>
          <w:type w:val="bbPlcHdr"/>
        </w:types>
        <w:behaviors>
          <w:behavior w:val="content"/>
        </w:behaviors>
        <w:guid w:val="{8B86DE5E-4AE1-449F-B4E5-008D06AD5FFD}"/>
      </w:docPartPr>
      <w:docPartBody>
        <w:p w:rsidR="0005549C" w:rsidRDefault="001F2267" w:rsidP="001F2267">
          <w:pPr>
            <w:pStyle w:val="F41AF32350E846E9A875567E8B72C6CF"/>
          </w:pPr>
          <w:r>
            <w:rPr>
              <w:rFonts w:cs="David"/>
              <w:b/>
              <w:bCs/>
              <w:rtl/>
            </w:rPr>
            <w:t>שם פרטי חותם</w:t>
          </w:r>
        </w:p>
      </w:docPartBody>
    </w:docPart>
    <w:docPart>
      <w:docPartPr>
        <w:name w:val="AB8C8BEC39C2473880BE6160465D920A"/>
        <w:category>
          <w:name w:val="כללי"/>
          <w:gallery w:val="placeholder"/>
        </w:category>
        <w:types>
          <w:type w:val="bbPlcHdr"/>
        </w:types>
        <w:behaviors>
          <w:behavior w:val="content"/>
        </w:behaviors>
        <w:guid w:val="{879B9F9F-0C6C-49B4-85CA-7EB8906FCBAE}"/>
      </w:docPartPr>
      <w:docPartBody>
        <w:p w:rsidR="0005549C" w:rsidRDefault="001F2267" w:rsidP="001F2267">
          <w:pPr>
            <w:pStyle w:val="AB8C8BEC39C2473880BE6160465D920A"/>
          </w:pPr>
          <w:r>
            <w:rPr>
              <w:rFonts w:cs="David"/>
              <w:b/>
              <w:bCs/>
              <w:rtl/>
            </w:rPr>
            <w:t>שם משפחה חותם</w:t>
          </w:r>
        </w:p>
      </w:docPartBody>
    </w:docPart>
    <w:docPart>
      <w:docPartPr>
        <w:name w:val="406908E3C0C646DDA575382C87C6649C"/>
        <w:category>
          <w:name w:val="כללי"/>
          <w:gallery w:val="placeholder"/>
        </w:category>
        <w:types>
          <w:type w:val="bbPlcHdr"/>
        </w:types>
        <w:behaviors>
          <w:behavior w:val="content"/>
        </w:behaviors>
        <w:guid w:val="{372D67BE-141F-4B54-BB42-78429B83D84A}"/>
      </w:docPartPr>
      <w:docPartBody>
        <w:p w:rsidR="0005549C" w:rsidRDefault="001F2267" w:rsidP="001F2267">
          <w:pPr>
            <w:pStyle w:val="406908E3C0C646DDA575382C87C6649C"/>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267"/>
    <w:rsid w:val="0004465E"/>
    <w:rsid w:val="0005549C"/>
    <w:rsid w:val="001F2267"/>
    <w:rsid w:val="00D06236"/>
    <w:rsid w:val="00E11F0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CF3702E1C74AFE9928BDA86043681E">
    <w:name w:val="D8CF3702E1C74AFE9928BDA86043681E"/>
    <w:rsid w:val="001F2267"/>
    <w:pPr>
      <w:bidi/>
    </w:pPr>
  </w:style>
  <w:style w:type="paragraph" w:customStyle="1" w:styleId="D868A87773ED4BE9B94E7540330BAED1">
    <w:name w:val="D868A87773ED4BE9B94E7540330BAED1"/>
    <w:rsid w:val="001F2267"/>
    <w:pPr>
      <w:bidi/>
    </w:pPr>
  </w:style>
  <w:style w:type="paragraph" w:customStyle="1" w:styleId="8CFFB6316B1946709960B286F4E66657">
    <w:name w:val="8CFFB6316B1946709960B286F4E66657"/>
    <w:rsid w:val="001F2267"/>
    <w:pPr>
      <w:bidi/>
    </w:pPr>
  </w:style>
  <w:style w:type="paragraph" w:customStyle="1" w:styleId="CD9332CC51FD47D6B221BA66DC3881C7">
    <w:name w:val="CD9332CC51FD47D6B221BA66DC3881C7"/>
    <w:rsid w:val="001F2267"/>
    <w:pPr>
      <w:bidi/>
    </w:pPr>
  </w:style>
  <w:style w:type="paragraph" w:customStyle="1" w:styleId="8A1572DCA68E41008FFDF62DBB7D86F1">
    <w:name w:val="8A1572DCA68E41008FFDF62DBB7D86F1"/>
    <w:rsid w:val="001F2267"/>
    <w:pPr>
      <w:bidi/>
    </w:pPr>
  </w:style>
  <w:style w:type="paragraph" w:customStyle="1" w:styleId="7D385208879D45EE88279C66011D27A2">
    <w:name w:val="7D385208879D45EE88279C66011D27A2"/>
    <w:rsid w:val="001F2267"/>
    <w:pPr>
      <w:bidi/>
    </w:pPr>
  </w:style>
  <w:style w:type="paragraph" w:customStyle="1" w:styleId="C97B015DD2E047C998642365C9110F25">
    <w:name w:val="C97B015DD2E047C998642365C9110F25"/>
    <w:rsid w:val="001F2267"/>
    <w:pPr>
      <w:bidi/>
    </w:pPr>
  </w:style>
  <w:style w:type="paragraph" w:customStyle="1" w:styleId="EF1D664A09BD44FEA138777B6797164E">
    <w:name w:val="EF1D664A09BD44FEA138777B6797164E"/>
    <w:rsid w:val="001F2267"/>
    <w:pPr>
      <w:bidi/>
    </w:pPr>
  </w:style>
  <w:style w:type="paragraph" w:customStyle="1" w:styleId="8CB848DADB32419DBA2872693FC16944">
    <w:name w:val="8CB848DADB32419DBA2872693FC16944"/>
    <w:rsid w:val="001F2267"/>
    <w:pPr>
      <w:bidi/>
    </w:pPr>
  </w:style>
  <w:style w:type="paragraph" w:customStyle="1" w:styleId="7AE20302FC444F17A40CD0E843CB0CBB">
    <w:name w:val="7AE20302FC444F17A40CD0E843CB0CBB"/>
    <w:rsid w:val="001F2267"/>
    <w:pPr>
      <w:bidi/>
    </w:pPr>
  </w:style>
  <w:style w:type="paragraph" w:customStyle="1" w:styleId="7485F5AACA014E35A9F585AA75091DFB">
    <w:name w:val="7485F5AACA014E35A9F585AA75091DFB"/>
    <w:rsid w:val="001F2267"/>
    <w:pPr>
      <w:bidi/>
    </w:pPr>
  </w:style>
  <w:style w:type="paragraph" w:customStyle="1" w:styleId="F41AF32350E846E9A875567E8B72C6CF">
    <w:name w:val="F41AF32350E846E9A875567E8B72C6CF"/>
    <w:rsid w:val="001F2267"/>
    <w:pPr>
      <w:bidi/>
    </w:pPr>
  </w:style>
  <w:style w:type="paragraph" w:customStyle="1" w:styleId="AB8C8BEC39C2473880BE6160465D920A">
    <w:name w:val="AB8C8BEC39C2473880BE6160465D920A"/>
    <w:rsid w:val="001F2267"/>
    <w:pPr>
      <w:bidi/>
    </w:pPr>
  </w:style>
  <w:style w:type="paragraph" w:customStyle="1" w:styleId="406908E3C0C646DDA575382C87C6649C">
    <w:name w:val="406908E3C0C646DDA575382C87C6649C"/>
    <w:rsid w:val="001F226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3593</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אספרנצה אלון</dc:creator>
  <cp:keywords/>
  <dc:description/>
  <cp:lastModifiedBy>אסתר טטרואשילי</cp:lastModifiedBy>
  <cp:revision>2</cp:revision>
  <dcterms:created xsi:type="dcterms:W3CDTF">2023-08-03T12:18:00Z</dcterms:created>
  <dcterms:modified xsi:type="dcterms:W3CDTF">2023-08-03T12:18:00Z</dcterms:modified>
</cp:coreProperties>
</file>